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16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АГЕНТСТВО ЗАПИСИ АКТОВ ГРАЖДАНСКОГО СОСТОЯНИЯ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АРХИВНОГО ДЕЛА КАМЧАТСКОГО КРАЯ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</w:rPr>
            </w:pPr>
            <w:bookmarkStart w:id="1" w:name="REGNUMDATESTAMP"/>
            <w:r>
              <w:rPr>
                <w:rFonts w:ascii="Times New Roman" w:hAnsi="Times New Roman"/>
                <w:color w:themeColor="background1" w:val="FFFFFF"/>
              </w:rPr>
              <w:t>[Дата регистрации] № [Номер документа]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приказ Агентства записи актов гражданского состояния и архивного дела Камчатского края от 08.04.2019 № 49-п </w:t>
      </w:r>
      <w:r>
        <w:br/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записи актов гражданского состояния и архивного дела Камчатского края»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</w:p>
    <w:p w14:paraId="15000000">
      <w:pPr>
        <w:widowControl w:val="0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16000000">
      <w:pPr>
        <w:widowControl w:val="0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widowControl w:val="0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18000000">
      <w:pPr>
        <w:widowControl w:val="0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приказ </w:t>
      </w:r>
      <w:r>
        <w:rPr>
          <w:rFonts w:ascii="Times New Roman" w:hAnsi="Times New Roman"/>
          <w:b w:val="0"/>
          <w:sz w:val="28"/>
        </w:rPr>
        <w:t xml:space="preserve">Агентства записи актов гражданского состояния и архивного дела Камчатского края от 08.04.2019 № 49-п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записи актов гражданского состояния и архивного дела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9000000">
      <w:pPr>
        <w:widowControl w:val="0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приложение 1 к приказу изложить в редакции согласно приложению к настоящему приказу;</w:t>
      </w:r>
    </w:p>
    <w:p w14:paraId="1A000000">
      <w:pPr>
        <w:widowControl w:val="0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 2:</w:t>
      </w:r>
    </w:p>
    <w:p w14:paraId="1B000000">
      <w:pPr>
        <w:widowControl w:val="0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пункте 2 части 6 слова «</w:t>
      </w:r>
      <w:r>
        <w:rPr>
          <w:rFonts w:ascii="Times New Roman" w:hAnsi="Times New Roman"/>
          <w:sz w:val="28"/>
        </w:rPr>
        <w:t>в подразделение кадровой службы Агентства, по профилактике коррупционных и иных правонарушений, либо должностному лицу кадровой службы Агентства, ответственному за работу по профилактике коррупционных и иных правонарушений» заменить словами «</w:t>
      </w:r>
      <w:r>
        <w:rPr>
          <w:rFonts w:ascii="Times New Roman" w:hAnsi="Times New Roman"/>
          <w:sz w:val="28"/>
        </w:rPr>
        <w:t>должностному лицу Агентства, ответственному за работу по профилактике коррупционных и иных правонарушений»;</w:t>
      </w:r>
    </w:p>
    <w:p w14:paraId="1C000000">
      <w:pPr>
        <w:widowControl w:val="0"/>
        <w:tabs>
          <w:tab w:leader="none" w:pos="851" w:val="left"/>
          <w:tab w:leader="none" w:pos="993" w:val="left"/>
        </w:tabs>
        <w:spacing w:after="57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7 признать утратившей силу.</w:t>
      </w:r>
    </w:p>
    <w:p w14:paraId="1D000000">
      <w:pPr>
        <w:widowControl w:val="0"/>
        <w:tabs>
          <w:tab w:leader="none" w:pos="851" w:val="left"/>
          <w:tab w:leader="none" w:pos="993" w:val="left"/>
        </w:tabs>
        <w:spacing w:after="57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76"/>
        <w:gridCol w:w="4394"/>
        <w:gridCol w:w="2054"/>
      </w:tblGrid>
      <w:tr>
        <w:trPr>
          <w:trHeight w:hRule="atLeast" w:val="1394"/>
          <w:hidden w:val="0"/>
        </w:trPr>
        <w:tc>
          <w:tcPr>
            <w:tcW w:type="dxa" w:w="34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 Агентства</w:t>
            </w:r>
          </w:p>
          <w:p w14:paraId="20000000">
            <w:pPr>
              <w:spacing w:after="0" w:line="240" w:lineRule="auto"/>
              <w:ind w:hanging="3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 xml:space="preserve">[горизонтальный штамп подписи 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1]</w:t>
            </w:r>
            <w:bookmarkEnd w:id="2"/>
          </w:p>
        </w:tc>
        <w:tc>
          <w:tcPr>
            <w:tcW w:type="dxa" w:w="205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Польшина</w:t>
            </w:r>
          </w:p>
        </w:tc>
      </w:tr>
    </w:tbl>
    <w:p w14:paraId="23000000">
      <w:pPr>
        <w:sectPr>
          <w:headerReference r:id="rId2" w:type="default"/>
          <w:pgSz w:h="16848" w:orient="portrait" w:w="11908"/>
          <w:pgMar w:bottom="974" w:footer="708" w:gutter="0" w:header="567" w:left="1417" w:right="567" w:top="1134"/>
          <w:pgNumType w:start="1"/>
          <w:titlePg/>
        </w:sectPr>
      </w:pPr>
    </w:p>
    <w:p w14:paraId="2400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Агентства записи актов гражданского состояния и архивного дела Камчатского края</w:t>
      </w:r>
    </w:p>
    <w:tbl>
      <w:tblPr>
        <w:tblStyle w:val="Style_2"/>
        <w:tblInd w:type="dxa" w:w="482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1869"/>
        <w:gridCol w:w="486"/>
        <w:gridCol w:w="1920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60"/>
              <w:ind w:firstLine="0"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60"/>
              <w:ind w:firstLine="0" w:left="-142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60"/>
              <w:ind w:firstLine="0"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60"/>
              <w:ind w:firstLine="0" w:left="-142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9000000">
      <w:pPr>
        <w:spacing w:after="0" w:line="240" w:lineRule="auto"/>
        <w:ind w:firstLine="0" w:left="4819"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before="0"/>
        <w:ind w:firstLine="0" w:left="4819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«Приложение 1</w:t>
      </w:r>
    </w:p>
    <w:p w14:paraId="2B000000">
      <w:pPr>
        <w:spacing w:after="0" w:before="0"/>
        <w:ind w:firstLine="0" w:left="4819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к приказу Агентства записи актов гражданского состояния и архивного дела Камчатского края</w:t>
      </w:r>
    </w:p>
    <w:p w14:paraId="2C000000">
      <w:pPr>
        <w:spacing w:after="0" w:before="0"/>
        <w:ind w:firstLine="0" w:left="4819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от 08.04.2019 № 49-п</w:t>
      </w:r>
    </w:p>
    <w:p w14:paraId="2D000000">
      <w:pPr>
        <w:spacing w:after="0" w:before="0"/>
        <w:ind w:firstLine="0" w:left="4535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 </w:t>
      </w:r>
    </w:p>
    <w:p w14:paraId="2E000000">
      <w:pPr>
        <w:spacing w:after="0" w:before="0"/>
        <w:ind w:firstLine="0" w:left="4535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 </w:t>
      </w:r>
    </w:p>
    <w:p w14:paraId="2F000000">
      <w:pPr>
        <w:spacing w:after="0" w:before="0"/>
        <w:ind w:firstLine="0" w:left="4535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 </w:t>
      </w:r>
    </w:p>
    <w:p w14:paraId="30000000">
      <w:pPr>
        <w:spacing w:after="0" w:before="0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Состав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записи актов гражданского состояния и архивного дела Камчатского края</w:t>
      </w:r>
      <w:r>
        <w:rPr>
          <w:rFonts w:ascii="Times New Roman" w:hAnsi="Times New Roman"/>
          <w:sz w:val="20"/>
        </w:rPr>
        <w:t xml:space="preserve"> &lt;1&gt;</w:t>
      </w:r>
    </w:p>
    <w:p w14:paraId="31000000">
      <w:pPr>
        <w:spacing w:after="0" w:before="0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 </w:t>
      </w: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3009"/>
        <w:gridCol w:w="6915"/>
      </w:tblGrid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32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Принзюк </w:t>
            </w:r>
          </w:p>
          <w:p w14:paraId="33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Мария </w:t>
            </w:r>
            <w:r>
              <w:rPr>
                <w:rFonts w:ascii="Times New Roman" w:hAnsi="Times New Roman"/>
                <w:sz w:val="28"/>
              </w:rPr>
              <w:t>Сергеевна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3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заместитель руководителя Агентства записи актов гражданского состояния и архивного дела Камчатского края – начальник отдела организации государственной регистрации актов гражданского состояния,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председатель комиссии;</w:t>
            </w:r>
          </w:p>
          <w:p w14:paraId="35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36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Широбокова</w:t>
            </w:r>
          </w:p>
          <w:p w14:paraId="37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Татьяна Сергеевна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3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начальник отдела организации архивного дела и правового обеспечения Агентства записи актов гражданского состояния и архивного дела Камчатского края (далее – Агентство), заместитель председателя комиссии;</w:t>
            </w:r>
          </w:p>
          <w:p w14:paraId="3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3A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Шишкина</w:t>
            </w:r>
          </w:p>
          <w:p w14:paraId="3B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Елена Анатольевна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3C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советник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отдела организации архивного дела и правового обеспечения Агентства,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секретарь комиссии;</w:t>
            </w:r>
          </w:p>
          <w:p w14:paraId="3D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3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3F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  <w:p w14:paraId="40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41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42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Заколутин </w:t>
            </w:r>
          </w:p>
          <w:p w14:paraId="43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Алексей Викторович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4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референт</w:t>
            </w:r>
            <w:r>
              <w:rPr>
                <w:rFonts w:ascii="Times New Roman" w:hAnsi="Times New Roman"/>
                <w:sz w:val="28"/>
              </w:rPr>
              <w:t xml:space="preserve"> отдела по профилактике коррупционных и иных правонарушений Администрации Губернатора Камчатского края;</w:t>
            </w:r>
          </w:p>
          <w:p w14:paraId="45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4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47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Онуфриева</w:t>
            </w:r>
          </w:p>
          <w:p w14:paraId="48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Галина Леонидовна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4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директор Центра обучения по дополнительным образовательным программам и дистанционным технологиям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Дальневосточного филиала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(по согласованию);</w:t>
            </w:r>
          </w:p>
          <w:p w14:paraId="4A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4B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Орлик </w:t>
            </w:r>
          </w:p>
          <w:p w14:paraId="4C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Тамара Петровна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4D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член Общественной палаты Камчатского края </w:t>
            </w:r>
            <w:r>
              <w:rPr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(по согласованию)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"consultantplus://offline/ref=CA93D8EBA1BC302C0FFA7DE1CBF8BB6EC7D624B31F8C43C93D7E4E924E49FE086086FEF32C075625F443474EG459W"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&lt;2&gt;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4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  <w:p w14:paraId="4F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  <w:p w14:paraId="50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представитель общественной организации ветеранов, в случае создания указанной организации при Агентстве (по согласованию)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"consultantplus://offline/ref=C019CB14147738645B9C63E30760A17CD0C4A006DDD55CEFE33C1FA2364363F1C23CDDF2B172AB6188E82826S358W"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&lt;2&gt;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1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2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представитель профсоюзной организации, в случае осуществления деятельности указанной организации при Агентстве (по согласованию)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"consultantplus://offline/ref=EA0B43099D1EAC94103B17FF66497673BCAFFCC66068C6BDDB1A5B5E6BCBED47DD2CE71E72CD40098FF02817d956W"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&lt;2&gt;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5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9924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5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Участники заседания комиссии с правом совещательного голоса:</w:t>
            </w:r>
          </w:p>
          <w:p w14:paraId="5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7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непосредственный руководитель государственного гражданского служащего Камчатского края (далее -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14:paraId="5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A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B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гражданские служащие, замещающие в Агентстве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 (два лица)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"consultantplus://offline/ref=5A2F9D47D31175212557C680C3F32E989CB71DB3F4F99BC78A3BC0C0E093FE541BA30475310DF114A71F391Cp86BW"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&lt;3&gt;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C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D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5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другие гражданские служащие, замещающие должности государственной гражданской службы Камчатского края в Агентстве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"consultantplus://offline/ref=9A450DB22550BD796D15CD9528A8471E9D8D220D4C3AFF51BE2AE2BACF9754DF0A96EC6E1148695BCC6222404569W"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&lt;4&gt;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F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60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61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6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специалисты, которые могут дать пояснения по вопросам государственной службы и вопросам, рассматриваемым комиссией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"consultantplus://offline/ref=91CBD74F867765522BF66B02AF10E6233C8C961FD2E1C75CCAD87D716C542B85E946A8552BC3891E30B69F2DN279W"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&lt;4&gt;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6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64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65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должностные лица других государственных органов Камчатского края, органов местного самоуправления в Камчатском крае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"consultantplus://offline/ref=2AB58466E09A4137EE04BCAC624E526310C7C03E13AA9B31AF8A0E5C83B1243CC03F1E9E3E6E200C7065DA40YF74W"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&lt;4&gt;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6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67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6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представители заинтересованных организаций в Камчатском крае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"consultantplus://offline/ref=492729985F20DE8E035DB2970005157D6F544364B27581895635383F5CF2698BB11ED978F01A66DAA00C6DE5jC79W"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&lt;4&gt;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6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300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6A000000">
            <w:pPr>
              <w:spacing w:after="0" w:before="0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6B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instrText>HYPERLINK "consultantplus://offline/ref=6356E37805975AFDFBDE506DB749248FC7B16073C2221C31D6BBE17D3BA38CE8E98005C1B7218B24008E05AFz671W"</w:instrTex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t>&lt;4&gt;</w:t>
            </w:r>
            <w:r>
              <w:rPr>
                <w:rFonts w:ascii="Times New Roman" w:hAnsi="Times New Roman"/>
                <w:strike w:val="0"/>
                <w:color w:val="000000"/>
                <w:sz w:val="28"/>
                <w:u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6C000000">
      <w:pPr>
        <w:spacing w:after="0" w:before="0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----------------------------------------------------------------------------------------------------------------------</w:t>
      </w:r>
    </w:p>
    <w:p w14:paraId="6D000000">
      <w:pPr>
        <w:spacing w:after="0" w:before="0"/>
        <w:ind w:firstLine="54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&lt;1&gt; Общее число членов комиссии, не замещающих должности гражданской службы, назначение на которые и освобождение от которых осуществляется руководителем Агентства, должно составлять не менее одной четверти от общего числа членов комиссии.</w:t>
      </w:r>
    </w:p>
    <w:p w14:paraId="6E000000">
      <w:pPr>
        <w:spacing w:after="0" w:before="0"/>
        <w:ind w:firstLine="54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&lt;2&gt; Член комиссии включается по решению руководителя Агентства. Согласование кандидатуры осуществляется в 10-дневный срок со дня получения запроса.</w:t>
      </w:r>
    </w:p>
    <w:p w14:paraId="6F000000">
      <w:pPr>
        <w:spacing w:after="0" w:before="0"/>
        <w:ind w:firstLine="54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&lt;3&gt; Участник определяется председателем комиссии.</w:t>
      </w:r>
    </w:p>
    <w:p w14:paraId="70000000">
      <w:pPr>
        <w:spacing w:after="0" w:before="0"/>
        <w:ind w:firstLine="54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14:paraId="71000000">
      <w:pPr>
        <w:widowControl w:val="0"/>
        <w:spacing w:after="0" w:line="240" w:lineRule="auto"/>
        <w:ind w:firstLine="0" w:left="481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>
      <w:headerReference r:id="rId1" w:type="default"/>
      <w:pgSz w:h="16848" w:orient="portrait" w:w="11908"/>
      <w:pgMar w:bottom="1134" w:footer="708" w:gutter="0" w:header="567" w:left="1417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сновной шрифт абзаца2"/>
    <w:link w:val="Style_4_ch"/>
  </w:style>
  <w:style w:styleId="Style_4_ch" w:type="character">
    <w:name w:val="Основной шрифт абзаца2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3_ch"/>
    <w:link w:val="Style_7"/>
    <w:rPr>
      <w:rFonts w:ascii="Segoe UI" w:hAnsi="Segoe UI"/>
      <w:sz w:val="1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 Paragraph"/>
    <w:basedOn w:val="Style_3"/>
    <w:link w:val="Style_1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2_ch" w:type="character">
    <w:name w:val="List Paragraph"/>
    <w:basedOn w:val="Style_3_ch"/>
    <w:link w:val="Style_12"/>
    <w:rPr>
      <w:rFonts w:ascii="Times New Roman" w:hAnsi="Times New Roman"/>
      <w:sz w:val="24"/>
    </w:rPr>
  </w:style>
  <w:style w:styleId="Style_13" w:type="paragraph">
    <w:name w:val="Основной шрифт абзаца3"/>
    <w:link w:val="Style_13_ch"/>
  </w:style>
  <w:style w:styleId="Style_13_ch" w:type="character">
    <w:name w:val="Основной шрифт абзаца3"/>
    <w:link w:val="Style_13"/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3_ch"/>
    <w:link w:val="Style_14"/>
    <w:rPr>
      <w:rFonts w:ascii="Times New Roman" w:hAnsi="Times New Roman"/>
      <w:sz w:val="28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Гиперссылка2"/>
    <w:link w:val="Style_16_ch"/>
    <w:rPr>
      <w:color w:val="0000FF"/>
      <w:u w:val="single"/>
    </w:rPr>
  </w:style>
  <w:style w:styleId="Style_16_ch" w:type="character">
    <w:name w:val="Гиперссылка2"/>
    <w:link w:val="Style_16"/>
    <w:rPr>
      <w:color w:val="0000FF"/>
      <w:u w:val="single"/>
    </w:rPr>
  </w:style>
  <w:style w:styleId="Style_17" w:type="paragraph">
    <w:name w:val="Гиперссылка1"/>
    <w:basedOn w:val="Style_18"/>
    <w:link w:val="Style_17_ch"/>
    <w:rPr>
      <w:color w:themeColor="hyperlink" w:val="0563C1"/>
      <w:u w:val="single"/>
    </w:rPr>
  </w:style>
  <w:style w:styleId="Style_17_ch" w:type="character">
    <w:name w:val="Гиперссылка1"/>
    <w:basedOn w:val="Style_18_ch"/>
    <w:link w:val="Style_17"/>
    <w:rPr>
      <w:color w:themeColor="hyperlink" w:val="0563C1"/>
      <w:u w:val="single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toc 3"/>
    <w:next w:val="Style_3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5"/>
    <w:next w:val="Style_3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4_ch" w:type="character">
    <w:name w:val="heading 5"/>
    <w:link w:val="Style_24"/>
    <w:rPr>
      <w:rFonts w:ascii="XO Thames" w:hAnsi="XO Thames"/>
      <w:b w:val="1"/>
    </w:rPr>
  </w:style>
  <w:style w:styleId="Style_25" w:type="paragraph">
    <w:name w:val="heading 1"/>
    <w:next w:val="Style_3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Plain Text"/>
    <w:basedOn w:val="Style_3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3_ch"/>
    <w:link w:val="Style_26"/>
    <w:rPr>
      <w:rFonts w:ascii="Calibri" w:hAnsi="Calibri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</w:rPr>
  </w:style>
  <w:style w:styleId="Style_28_ch" w:type="character">
    <w:name w:val="Footnote"/>
    <w:link w:val="Style_28"/>
    <w:rPr>
      <w:rFonts w:ascii="XO Thames" w:hAnsi="XO Thames"/>
    </w:rPr>
  </w:style>
  <w:style w:styleId="Style_29" w:type="paragraph">
    <w:name w:val="toc 1"/>
    <w:next w:val="Style_3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Body Text"/>
    <w:basedOn w:val="Style_3"/>
    <w:link w:val="Style_31_ch"/>
    <w:pPr>
      <w:spacing w:after="120" w:line="240" w:lineRule="auto"/>
      <w:ind/>
    </w:pPr>
    <w:rPr>
      <w:rFonts w:ascii="Times New Roman" w:hAnsi="Times New Roman"/>
      <w:sz w:val="24"/>
    </w:rPr>
  </w:style>
  <w:style w:styleId="Style_31_ch" w:type="character">
    <w:name w:val="Body Text"/>
    <w:basedOn w:val="Style_3_ch"/>
    <w:link w:val="Style_31"/>
    <w:rPr>
      <w:rFonts w:ascii="Times New Roman" w:hAnsi="Times New Roman"/>
      <w:sz w:val="24"/>
    </w:rPr>
  </w:style>
  <w:style w:styleId="Style_32" w:type="paragraph">
    <w:name w:val="FR3"/>
    <w:link w:val="Style_32_ch"/>
    <w:pPr>
      <w:widowControl w:val="0"/>
      <w:spacing w:after="240" w:before="240"/>
      <w:ind w:firstLine="0" w:left="1320" w:right="1200"/>
      <w:jc w:val="center"/>
    </w:pPr>
    <w:rPr>
      <w:rFonts w:ascii="Arial" w:hAnsi="Arial"/>
    </w:rPr>
  </w:style>
  <w:style w:styleId="Style_32_ch" w:type="character">
    <w:name w:val="FR3"/>
    <w:link w:val="Style_32"/>
    <w:rPr>
      <w:rFonts w:ascii="Arial" w:hAnsi="Arial"/>
    </w:rPr>
  </w:style>
  <w:style w:styleId="Style_33" w:type="paragraph">
    <w:name w:val="Гиперссылка2"/>
    <w:link w:val="Style_33_ch"/>
    <w:rPr>
      <w:color w:val="0000FF"/>
      <w:u w:val="single"/>
    </w:rPr>
  </w:style>
  <w:style w:styleId="Style_33_ch" w:type="character">
    <w:name w:val="Гиперссылка2"/>
    <w:link w:val="Style_33"/>
    <w:rPr>
      <w:color w:val="0000FF"/>
      <w:u w:val="single"/>
    </w:rPr>
  </w:style>
  <w:style w:styleId="Style_34" w:type="paragraph">
    <w:name w:val="toc 9"/>
    <w:next w:val="Style_3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3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37" w:type="paragraph">
    <w:name w:val="toc 5"/>
    <w:next w:val="Style_3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39" w:type="paragraph">
    <w:name w:val="Subtitle"/>
    <w:next w:val="Style_3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3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3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3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2023-12-29T00:35:31Z</dcterms:modified>
</cp:coreProperties>
</file>