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9"/>
        <w:gridCol w:w="5778"/>
      </w:tblGrid>
      <w:tr w:rsidR="000666D6" w:rsidRPr="000666D6" w:rsidTr="00E13DE5">
        <w:trPr>
          <w:trHeight w:val="338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0666D6" w:rsidRPr="000666D6" w:rsidRDefault="000666D6" w:rsidP="000666D6">
            <w:pPr>
              <w:suppressAutoHyphens/>
              <w:autoSpaceDE/>
              <w:autoSpaceDN/>
              <w:adjustRightInd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666D6" w:rsidRPr="000666D6" w:rsidRDefault="000666D6" w:rsidP="000666D6">
            <w:pPr>
              <w:autoSpaceDE/>
              <w:autoSpaceDN/>
              <w:adjustRightInd/>
              <w:ind w:firstLine="720"/>
              <w:jc w:val="right"/>
              <w:rPr>
                <w:rFonts w:ascii="Times New Roman" w:hAnsi="Times New Roman" w:cs="Times New Roman"/>
                <w:sz w:val="24"/>
              </w:rPr>
            </w:pPr>
            <w:r w:rsidRPr="000666D6">
              <w:rPr>
                <w:rFonts w:ascii="Times New Roman" w:hAnsi="Times New Roman" w:cs="Times New Roman"/>
                <w:sz w:val="24"/>
              </w:rPr>
              <w:t>Приложение № </w:t>
            </w:r>
            <w:r w:rsidR="000B7132">
              <w:rPr>
                <w:rFonts w:ascii="Times New Roman" w:hAnsi="Times New Roman" w:cs="Times New Roman"/>
                <w:sz w:val="24"/>
              </w:rPr>
              <w:t>4</w:t>
            </w:r>
            <w:r w:rsidRPr="000666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666D6" w:rsidRPr="000666D6" w:rsidRDefault="000666D6" w:rsidP="000666D6">
            <w:pPr>
              <w:autoSpaceDE/>
              <w:autoSpaceDN/>
              <w:adjustRightInd/>
              <w:ind w:firstLine="720"/>
              <w:jc w:val="right"/>
              <w:rPr>
                <w:rFonts w:ascii="Times New Roman" w:hAnsi="Times New Roman" w:cs="Times New Roman"/>
                <w:sz w:val="24"/>
              </w:rPr>
            </w:pPr>
            <w:r w:rsidRPr="000666D6">
              <w:rPr>
                <w:rFonts w:ascii="Times New Roman" w:hAnsi="Times New Roman" w:cs="Times New Roman"/>
                <w:sz w:val="24"/>
              </w:rPr>
              <w:t xml:space="preserve">к приказу Агентства по делам архивов </w:t>
            </w:r>
          </w:p>
          <w:p w:rsidR="000666D6" w:rsidRPr="000666D6" w:rsidRDefault="000666D6" w:rsidP="000666D6">
            <w:pPr>
              <w:autoSpaceDE/>
              <w:autoSpaceDN/>
              <w:adjustRightInd/>
              <w:ind w:firstLine="720"/>
              <w:jc w:val="right"/>
              <w:rPr>
                <w:rFonts w:ascii="Times New Roman" w:hAnsi="Times New Roman" w:cs="Times New Roman"/>
                <w:sz w:val="24"/>
              </w:rPr>
            </w:pPr>
            <w:r w:rsidRPr="000666D6">
              <w:rPr>
                <w:rFonts w:ascii="Times New Roman" w:hAnsi="Times New Roman" w:cs="Times New Roman"/>
                <w:sz w:val="24"/>
              </w:rPr>
              <w:t xml:space="preserve">Камчатского края </w:t>
            </w:r>
          </w:p>
          <w:p w:rsidR="00185515" w:rsidRPr="00185515" w:rsidRDefault="00185515" w:rsidP="00185515">
            <w:pPr>
              <w:autoSpaceDE/>
              <w:autoSpaceDN/>
              <w:adjustRightInd/>
              <w:ind w:firstLine="720"/>
              <w:jc w:val="right"/>
              <w:rPr>
                <w:rFonts w:ascii="Times New Roman" w:hAnsi="Times New Roman" w:cs="Times New Roman"/>
                <w:sz w:val="24"/>
              </w:rPr>
            </w:pPr>
            <w:r w:rsidRPr="00185515">
              <w:rPr>
                <w:rFonts w:ascii="Times New Roman" w:hAnsi="Times New Roman" w:cs="Times New Roman"/>
                <w:sz w:val="24"/>
              </w:rPr>
              <w:t>№ 47-п от 10 июля 2015 г.</w:t>
            </w:r>
          </w:p>
          <w:p w:rsidR="00E13DE5" w:rsidRDefault="00E13DE5" w:rsidP="000666D6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E13DE5" w:rsidRPr="000666D6" w:rsidRDefault="00E13DE5" w:rsidP="000666D6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C5F84" w:rsidRDefault="002C5F84" w:rsidP="003F337D">
      <w:pPr>
        <w:shd w:val="clear" w:color="auto" w:fill="FFFFFF"/>
        <w:tabs>
          <w:tab w:val="left" w:pos="99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</w:t>
      </w:r>
    </w:p>
    <w:p w:rsidR="003F337D" w:rsidRPr="002B3FDC" w:rsidRDefault="002C5F84" w:rsidP="003F337D">
      <w:pPr>
        <w:shd w:val="clear" w:color="auto" w:fill="FFFFFF"/>
        <w:tabs>
          <w:tab w:val="left" w:pos="99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рассмотрения запросов субъектов персональных данных или их представителей о получении информации, касающейся обработки персональных данных </w:t>
      </w:r>
    </w:p>
    <w:p w:rsidR="003F337D" w:rsidRPr="004657B5" w:rsidRDefault="003F337D" w:rsidP="003F337D">
      <w:pPr>
        <w:shd w:val="clear" w:color="auto" w:fill="FFFFFF"/>
        <w:tabs>
          <w:tab w:val="left" w:pos="99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337D" w:rsidRPr="002B3FDC" w:rsidRDefault="003F337D" w:rsidP="003F337D">
      <w:pPr>
        <w:shd w:val="clear" w:color="auto" w:fill="FFFFFF"/>
        <w:tabs>
          <w:tab w:val="left" w:pos="792"/>
          <w:tab w:val="left" w:pos="9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3EA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Субъект персональных данных или его представитель имеет право на получение информации, касающейся обработки персональных данных, в том числе содержащей:</w:t>
      </w:r>
    </w:p>
    <w:p w:rsidR="003F337D" w:rsidRPr="002B3FDC" w:rsidRDefault="003F337D" w:rsidP="003F337D">
      <w:pPr>
        <w:numPr>
          <w:ilvl w:val="0"/>
          <w:numId w:val="2"/>
        </w:numPr>
        <w:shd w:val="clear" w:color="auto" w:fill="FFFFFF"/>
        <w:tabs>
          <w:tab w:val="left" w:pos="78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подтверждение факта обработки персональных данных;</w:t>
      </w:r>
    </w:p>
    <w:p w:rsidR="003F337D" w:rsidRPr="002B3FDC" w:rsidRDefault="003F337D" w:rsidP="003F337D">
      <w:pPr>
        <w:numPr>
          <w:ilvl w:val="0"/>
          <w:numId w:val="2"/>
        </w:numPr>
        <w:shd w:val="clear" w:color="auto" w:fill="FFFFFF"/>
        <w:tabs>
          <w:tab w:val="left" w:pos="78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правовые основания и цели обработки персональных данных;</w:t>
      </w:r>
    </w:p>
    <w:p w:rsidR="003F337D" w:rsidRPr="002B3FDC" w:rsidRDefault="003F337D" w:rsidP="003F337D">
      <w:pPr>
        <w:numPr>
          <w:ilvl w:val="0"/>
          <w:numId w:val="2"/>
        </w:numPr>
        <w:shd w:val="clear" w:color="auto" w:fill="FFFFFF"/>
        <w:tabs>
          <w:tab w:val="left" w:pos="78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цели и применяемые способы обработки персональных данных;</w:t>
      </w:r>
    </w:p>
    <w:p w:rsidR="003F337D" w:rsidRPr="002B3FDC" w:rsidRDefault="003F337D" w:rsidP="003F337D">
      <w:pPr>
        <w:numPr>
          <w:ilvl w:val="0"/>
          <w:numId w:val="2"/>
        </w:numPr>
        <w:shd w:val="clear" w:color="auto" w:fill="FFFFFF"/>
        <w:tabs>
          <w:tab w:val="left" w:pos="78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и местонахождение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Агентства по делам архивов Камчатского края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Агентство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), сведения о лицах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(за исключением работников Агентства)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Агентством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или на основании федерального закона;</w:t>
      </w:r>
    </w:p>
    <w:p w:rsidR="003F337D" w:rsidRPr="002B3FDC" w:rsidRDefault="003F337D" w:rsidP="003F337D">
      <w:pPr>
        <w:numPr>
          <w:ilvl w:val="0"/>
          <w:numId w:val="2"/>
        </w:numPr>
        <w:shd w:val="clear" w:color="auto" w:fill="FFFFFF"/>
        <w:tabs>
          <w:tab w:val="left" w:pos="78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обрабатываемые персональные данные, относящиеся к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3F337D" w:rsidRPr="00D76A47" w:rsidRDefault="003F337D" w:rsidP="003F337D">
      <w:pPr>
        <w:numPr>
          <w:ilvl w:val="0"/>
          <w:numId w:val="2"/>
        </w:numPr>
        <w:shd w:val="clear" w:color="auto" w:fill="FFFFFF"/>
        <w:tabs>
          <w:tab w:val="left" w:pos="78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сроки обработки персональных данных, в том числе сроки их хранения;</w:t>
      </w:r>
    </w:p>
    <w:p w:rsidR="003F337D" w:rsidRPr="002B3FDC" w:rsidRDefault="003F337D" w:rsidP="003F337D">
      <w:pPr>
        <w:numPr>
          <w:ilvl w:val="0"/>
          <w:numId w:val="2"/>
        </w:numPr>
        <w:shd w:val="clear" w:color="auto" w:fill="FFFFFF"/>
        <w:tabs>
          <w:tab w:val="left" w:pos="79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осуществления субъектом персональных данных прав, предусмотренных Федеральным законом от 27.07.2006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152-ФЗ «О персональных данных» (далее – Федеральный закон «О персональных данных»);</w:t>
      </w:r>
    </w:p>
    <w:p w:rsidR="003F337D" w:rsidRPr="002B3FDC" w:rsidRDefault="003F337D" w:rsidP="003F337D">
      <w:pPr>
        <w:numPr>
          <w:ilvl w:val="0"/>
          <w:numId w:val="2"/>
        </w:numPr>
        <w:shd w:val="clear" w:color="auto" w:fill="FFFFFF"/>
        <w:tabs>
          <w:tab w:val="left" w:pos="79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информацию об осуществленной или о предполагаемой трансграничной передаче данных;</w:t>
      </w:r>
    </w:p>
    <w:p w:rsidR="003F337D" w:rsidRPr="00D76A47" w:rsidRDefault="003F337D" w:rsidP="003F337D">
      <w:pPr>
        <w:numPr>
          <w:ilvl w:val="0"/>
          <w:numId w:val="2"/>
        </w:numPr>
        <w:shd w:val="clear" w:color="auto" w:fill="FFFFFF"/>
        <w:tabs>
          <w:tab w:val="left" w:pos="79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Агентства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, если обработка поручена или будет поручена такому лицу;</w:t>
      </w:r>
    </w:p>
    <w:p w:rsidR="003F337D" w:rsidRDefault="003F337D" w:rsidP="003F337D">
      <w:pPr>
        <w:numPr>
          <w:ilvl w:val="0"/>
          <w:numId w:val="2"/>
        </w:numPr>
        <w:shd w:val="clear" w:color="auto" w:fill="FFFFFF"/>
        <w:tabs>
          <w:tab w:val="left" w:pos="792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A47">
        <w:rPr>
          <w:rFonts w:ascii="Times New Roman" w:hAnsi="Times New Roman" w:cs="Times New Roman"/>
          <w:color w:val="000000"/>
          <w:sz w:val="28"/>
          <w:szCs w:val="28"/>
        </w:rPr>
        <w:t xml:space="preserve"> иные сведения, предусмотренные Федеральным законом «О персональных данных» или другими федеральными законами.</w:t>
      </w:r>
    </w:p>
    <w:p w:rsidR="003F337D" w:rsidRPr="00D76A47" w:rsidRDefault="003F337D" w:rsidP="003F337D">
      <w:pPr>
        <w:numPr>
          <w:ilvl w:val="0"/>
          <w:numId w:val="3"/>
        </w:numPr>
        <w:shd w:val="clear" w:color="auto" w:fill="FFFFFF"/>
        <w:tabs>
          <w:tab w:val="left" w:pos="792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A47">
        <w:rPr>
          <w:rFonts w:ascii="Times New Roman" w:hAnsi="Times New Roman" w:cs="Times New Roman"/>
          <w:color w:val="000000"/>
          <w:sz w:val="28"/>
          <w:szCs w:val="28"/>
        </w:rPr>
        <w:t>Право субъекта персональных данных или его представителя на доступ к его персональным данным может быть ограничено в соответствии с федеральными законами.</w:t>
      </w:r>
    </w:p>
    <w:p w:rsidR="003F337D" w:rsidRPr="002B3FDC" w:rsidRDefault="003F337D" w:rsidP="003F337D">
      <w:pPr>
        <w:numPr>
          <w:ilvl w:val="0"/>
          <w:numId w:val="3"/>
        </w:numPr>
        <w:shd w:val="clear" w:color="auto" w:fill="FFFFFF"/>
        <w:tabs>
          <w:tab w:val="left" w:pos="792"/>
          <w:tab w:val="left" w:pos="9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Субъект персональных данных или его представитель имеет право на получение сведений, указанных в пункте 1 настоящих Правил, а также вправе требовать от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Агентства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устаревшими, неточными, незаконно полученными или не являются необходимыми для заявленной цели обработки, и принимать предусмотренные законом меры по защите своих прав.</w:t>
      </w:r>
    </w:p>
    <w:p w:rsidR="003F337D" w:rsidRPr="002B3FDC" w:rsidRDefault="003F337D" w:rsidP="003F337D">
      <w:pPr>
        <w:shd w:val="clear" w:color="auto" w:fill="FFFFFF"/>
        <w:tabs>
          <w:tab w:val="left" w:pos="869"/>
          <w:tab w:val="left" w:pos="9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FDC">
        <w:rPr>
          <w:rFonts w:ascii="Times New Roman" w:hAnsi="Times New Roman" w:cs="Times New Roman"/>
          <w:color w:val="000000"/>
          <w:sz w:val="28"/>
          <w:szCs w:val="28"/>
        </w:rPr>
        <w:t>4. Сведения, указанные в пункте 1 настоящих Правил, должны быть предоставлены субъекту персональных данных или его представителю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доступной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форме, и в них не должны содержаться персональные данные, относящиеся к другим лицам, за исключением случаев, если имеются законные основания для раскрытия таких персональных данных.</w:t>
      </w:r>
    </w:p>
    <w:p w:rsidR="003F337D" w:rsidRPr="002B3FDC" w:rsidRDefault="003F337D" w:rsidP="003F337D">
      <w:pPr>
        <w:shd w:val="clear" w:color="auto" w:fill="FFFFFF"/>
        <w:tabs>
          <w:tab w:val="left" w:pos="782"/>
          <w:tab w:val="left" w:pos="9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5. Сведения, указанные в пункте 1 настоящих Правил, предоставляются субъекту персональных данных или его представителю при обращении либо при получении запроса.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субъекта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персонал</w:t>
      </w:r>
      <w:r>
        <w:rPr>
          <w:rFonts w:ascii="Times New Roman" w:hAnsi="Times New Roman" w:cs="Times New Roman"/>
          <w:color w:val="000000"/>
          <w:sz w:val="28"/>
          <w:szCs w:val="28"/>
        </w:rPr>
        <w:t>ьных данных в отношениях с Агентством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(номер договора,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Агентством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, подпись субъекта персональных данных или его представителя.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представителя должны быть подтверждены документально.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3F337D" w:rsidRPr="002B3FDC" w:rsidRDefault="003F337D" w:rsidP="003F337D">
      <w:pPr>
        <w:numPr>
          <w:ilvl w:val="0"/>
          <w:numId w:val="4"/>
        </w:numPr>
        <w:shd w:val="clear" w:color="auto" w:fill="FFFFFF"/>
        <w:tabs>
          <w:tab w:val="left" w:pos="835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случае 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сведения,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указанные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настоящих Правил, а также обрабатываемые персональные данные были предоставлены для ознакомления субъекту персональных данных или его представителю по запросу, субъект персональных данных вправе обратиться повторно в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Агентство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или направить повторный запрос в целях получения сведений, указанных в пункте 1 настоящих Правил, и ознакомления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актом.</w:t>
      </w:r>
    </w:p>
    <w:p w:rsidR="003F337D" w:rsidRDefault="003F337D" w:rsidP="003F337D">
      <w:pPr>
        <w:numPr>
          <w:ilvl w:val="0"/>
          <w:numId w:val="4"/>
        </w:numPr>
        <w:shd w:val="clear" w:color="auto" w:fill="FFFFFF"/>
        <w:tabs>
          <w:tab w:val="left" w:pos="835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Субъект персональных данных или его представитель вправе обратиться повторно в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Агентство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или направить повторный запрос в целях получения сведений, указанных в пункте 1 настоящих Правил, а также в целях ознакомления с обрабатываемыми персональными данными до истечения срока, указанного в пункте 6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пункте 5 настоящих Правил, должен содержать обоснование направления повторного запроса.</w:t>
      </w:r>
    </w:p>
    <w:p w:rsidR="003F337D" w:rsidRDefault="003F337D" w:rsidP="003F337D">
      <w:pPr>
        <w:jc w:val="both"/>
        <w:rPr>
          <w:rFonts w:ascii="Times New Roman" w:hAnsi="Times New Roman" w:cs="Times New Roman"/>
          <w:sz w:val="28"/>
          <w:szCs w:val="28"/>
        </w:rPr>
      </w:pPr>
      <w:r w:rsidRPr="001A61CB">
        <w:rPr>
          <w:sz w:val="28"/>
          <w:szCs w:val="28"/>
        </w:rPr>
        <w:t xml:space="preserve">    </w:t>
      </w:r>
      <w:r w:rsidRPr="001A61CB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Pr="001A61CB">
        <w:rPr>
          <w:rFonts w:ascii="Times New Roman" w:hAnsi="Times New Roman" w:cs="Times New Roman"/>
          <w:sz w:val="28"/>
          <w:szCs w:val="28"/>
        </w:rPr>
        <w:t xml:space="preserve"> вправе отказать субъекту персональных данных или его представителю в выполнении повторного запроса, не соответствующего условиям, предусмотренным пунктам 6, 7 настоящих Правил. Такой отказ </w:t>
      </w:r>
      <w:r w:rsidRPr="001A61CB">
        <w:rPr>
          <w:rFonts w:ascii="Times New Roman" w:hAnsi="Times New Roman" w:cs="Times New Roman"/>
          <w:sz w:val="28"/>
          <w:szCs w:val="28"/>
        </w:rPr>
        <w:lastRenderedPageBreak/>
        <w:t>должен быть мотивированным, с представлением доказательств обоснованности отказа.</w:t>
      </w:r>
    </w:p>
    <w:p w:rsidR="003F337D" w:rsidRPr="002B3FDC" w:rsidRDefault="003F337D" w:rsidP="003F337D">
      <w:pPr>
        <w:shd w:val="clear" w:color="auto" w:fill="FFFFFF"/>
        <w:tabs>
          <w:tab w:val="left" w:pos="917"/>
          <w:tab w:val="left" w:pos="990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9.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наличия основания для отказа в предоставлении информации о персональных данных субъекта персональных 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Агентство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дает в письменной форме мотивированный ответ, содержащий ссылку на положение части 8 статьи 14 Федерального закона «О персональных данных» или иного федерального закона, являющееся основанием для такого отказа, в срок, не превышающий тридцати дней со дня обращения либо с даты получения запроса субъекта персональных данных или его представителя.</w:t>
      </w:r>
    </w:p>
    <w:p w:rsidR="003F337D" w:rsidRDefault="003F337D" w:rsidP="003F337D">
      <w:pPr>
        <w:numPr>
          <w:ilvl w:val="0"/>
          <w:numId w:val="5"/>
        </w:numPr>
        <w:shd w:val="clear" w:color="auto" w:fill="FFFFFF"/>
        <w:tabs>
          <w:tab w:val="left" w:pos="91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Агентство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безвозмездно субъекту персональных данных или его представителю возможность ознакомления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персональными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данными, относящимися к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Агентство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вносит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</w:t>
      </w:r>
      <w:r>
        <w:rPr>
          <w:rFonts w:ascii="Times New Roman" w:hAnsi="Times New Roman" w:cs="Times New Roman"/>
          <w:color w:val="000000"/>
          <w:sz w:val="28"/>
          <w:szCs w:val="28"/>
        </w:rPr>
        <w:t>Агентство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 xml:space="preserve"> обязано уничтожить такие персональные данные.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Агентство </w:t>
      </w:r>
      <w:r w:rsidRPr="002B3FDC">
        <w:rPr>
          <w:rFonts w:ascii="Times New Roman" w:hAnsi="Times New Roman" w:cs="Times New Roman"/>
          <w:color w:val="000000"/>
          <w:sz w:val="28"/>
          <w:szCs w:val="28"/>
        </w:rPr>
        <w:t>обязано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персональных данных были переданы.</w:t>
      </w:r>
    </w:p>
    <w:p w:rsidR="003F337D" w:rsidRPr="002B3FDC" w:rsidRDefault="003F337D" w:rsidP="003F337D">
      <w:pPr>
        <w:numPr>
          <w:ilvl w:val="0"/>
          <w:numId w:val="5"/>
        </w:numPr>
        <w:shd w:val="clear" w:color="auto" w:fill="FFFFFF"/>
        <w:tabs>
          <w:tab w:val="left" w:pos="917"/>
          <w:tab w:val="left" w:pos="9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Должностное лицо, ответственное за организацию обработки персональных данных, организовывает прием и обработку обращений и запросов субъектов персональных данных или их представителей и осуществляет контроль за приемом и обработкой таких обращений и запросов.</w:t>
      </w:r>
    </w:p>
    <w:p w:rsidR="003F337D" w:rsidRDefault="003F337D" w:rsidP="00E13DE5">
      <w:pPr>
        <w:shd w:val="clear" w:color="auto" w:fill="FFFFFF"/>
        <w:tabs>
          <w:tab w:val="left" w:pos="99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37D" w:rsidRDefault="003F337D" w:rsidP="00E13DE5">
      <w:pPr>
        <w:shd w:val="clear" w:color="auto" w:fill="FFFFFF"/>
        <w:tabs>
          <w:tab w:val="left" w:pos="99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37D" w:rsidRDefault="003F337D" w:rsidP="00E13DE5">
      <w:pPr>
        <w:shd w:val="clear" w:color="auto" w:fill="FFFFFF"/>
        <w:tabs>
          <w:tab w:val="left" w:pos="99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37D" w:rsidRDefault="003F337D" w:rsidP="00E13DE5">
      <w:pPr>
        <w:shd w:val="clear" w:color="auto" w:fill="FFFFFF"/>
        <w:tabs>
          <w:tab w:val="left" w:pos="99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37D" w:rsidRDefault="003F337D" w:rsidP="00E13DE5">
      <w:pPr>
        <w:shd w:val="clear" w:color="auto" w:fill="FFFFFF"/>
        <w:tabs>
          <w:tab w:val="left" w:pos="9900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3F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74E"/>
    <w:multiLevelType w:val="singleLevel"/>
    <w:tmpl w:val="84482016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4125796"/>
    <w:multiLevelType w:val="singleLevel"/>
    <w:tmpl w:val="2D26847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54976895"/>
    <w:multiLevelType w:val="singleLevel"/>
    <w:tmpl w:val="62AE3292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57AF1208"/>
    <w:multiLevelType w:val="singleLevel"/>
    <w:tmpl w:val="8FDC7C7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66CB495B"/>
    <w:multiLevelType w:val="singleLevel"/>
    <w:tmpl w:val="25102DD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AF"/>
    <w:rsid w:val="000666D6"/>
    <w:rsid w:val="000B7132"/>
    <w:rsid w:val="00185515"/>
    <w:rsid w:val="002C5F84"/>
    <w:rsid w:val="003F337D"/>
    <w:rsid w:val="00783BAF"/>
    <w:rsid w:val="00E13DE5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E698C-6E99-41A4-B604-FAB1EC85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3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3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1030</Words>
  <Characters>5871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 Евгений Петрович</dc:creator>
  <cp:keywords/>
  <dc:description/>
  <cp:lastModifiedBy>Литвинов Евгений Петрович</cp:lastModifiedBy>
  <cp:revision>7</cp:revision>
  <dcterms:created xsi:type="dcterms:W3CDTF">2015-07-09T03:41:00Z</dcterms:created>
  <dcterms:modified xsi:type="dcterms:W3CDTF">2015-07-22T00:02:00Z</dcterms:modified>
</cp:coreProperties>
</file>